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308292</w:t>
      </w:r>
      <w:bookmarkStart w:id="0" w:name="_GoBack"/>
      <w:bookmarkEnd w:id="0"/>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Toulouse, France,</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21 -25 August</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hint="default" w:ascii="Arial" w:hAnsi="Arial" w:eastAsia="宋体" w:cs="Arial"/>
          <w:kern w:val="0"/>
          <w:sz w:val="18"/>
          <w:szCs w:val="18"/>
          <w:lang w:val="en-US" w:eastAsia="zh-CN"/>
        </w:rPr>
      </w:pPr>
      <w:r>
        <w:rPr>
          <w:rFonts w:hint="eastAsia" w:ascii="Arial" w:hAnsi="Arial" w:cs="Arial"/>
          <w:sz w:val="20"/>
          <w:szCs w:val="21"/>
        </w:rPr>
        <w:t xml:space="preserve">In </w:t>
      </w:r>
      <w:r>
        <w:rPr>
          <w:rFonts w:ascii="Arial" w:hAnsi="Arial" w:cs="Arial"/>
          <w:sz w:val="20"/>
          <w:szCs w:val="21"/>
        </w:rPr>
        <w:t>RAN</w:t>
      </w:r>
      <w:r>
        <w:rPr>
          <w:rFonts w:hint="eastAsia" w:ascii="Arial" w:hAnsi="Arial" w:cs="Arial"/>
          <w:sz w:val="20"/>
          <w:szCs w:val="21"/>
          <w:lang w:val="en-US" w:eastAsia="zh-CN"/>
        </w:rPr>
        <w:t>2</w:t>
      </w:r>
      <w:r>
        <w:rPr>
          <w:rFonts w:ascii="Arial" w:hAnsi="Arial" w:cs="Arial"/>
          <w:sz w:val="20"/>
          <w:szCs w:val="21"/>
        </w:rPr>
        <w:t>#</w:t>
      </w:r>
      <w:r>
        <w:rPr>
          <w:rFonts w:hint="eastAsia" w:ascii="Arial" w:hAnsi="Arial" w:cs="Arial"/>
          <w:sz w:val="20"/>
          <w:szCs w:val="21"/>
          <w:lang w:val="en-US" w:eastAsia="zh-CN"/>
        </w:rPr>
        <w:t>121 meeting [1]</w:t>
      </w:r>
      <w:r>
        <w:rPr>
          <w:rFonts w:hint="eastAsia" w:ascii="Arial" w:hAnsi="Arial" w:cs="Arial"/>
          <w:sz w:val="20"/>
          <w:szCs w:val="21"/>
        </w:rPr>
        <w:t>,</w:t>
      </w:r>
      <w:r>
        <w:rPr>
          <w:rFonts w:ascii="Arial" w:hAnsi="Arial" w:cs="Arial"/>
          <w:sz w:val="20"/>
          <w:szCs w:val="21"/>
        </w:rPr>
        <w:t xml:space="preserve"> </w:t>
      </w:r>
      <w:r>
        <w:rPr>
          <w:rFonts w:hint="eastAsia" w:ascii="Arial" w:hAnsi="Arial" w:cs="Arial"/>
          <w:sz w:val="20"/>
          <w:szCs w:val="21"/>
          <w:lang w:val="en-US" w:eastAsia="zh-CN"/>
        </w:rPr>
        <w:t xml:space="preserve">RAN2 agreed to study the following potential solutions for AI/ML model transfer/delivery and </w:t>
      </w:r>
      <w:r>
        <w:rPr>
          <w:rFonts w:hint="eastAsia" w:ascii="Arial" w:hAnsi="Arial" w:eastAsia="宋体" w:cs="Arial"/>
          <w:kern w:val="0"/>
          <w:sz w:val="20"/>
          <w:szCs w:val="20"/>
          <w:lang w:val="en-US" w:eastAsia="zh-CN"/>
        </w:rPr>
        <w:t>relations between solutions and use cases</w:t>
      </w:r>
      <w:r>
        <w:rPr>
          <w:rFonts w:hint="eastAsia" w:ascii="Arial" w:hAnsi="Arial" w:cs="Arial"/>
          <w:sz w:val="20"/>
          <w:szCs w:val="21"/>
          <w:lang w:val="en-US" w:eastAsia="zh-CN"/>
        </w:rP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pStyle w:val="26"/>
              <w:tabs>
                <w:tab w:val="left" w:pos="1352"/>
              </w:tabs>
              <w:overflowPunct/>
              <w:autoSpaceDE/>
              <w:autoSpaceDN/>
              <w:adjustRightInd/>
              <w:ind w:left="1619" w:hanging="360"/>
              <w:textAlignment w:val="auto"/>
              <w:rPr>
                <w:rFonts w:hint="default" w:ascii="Arial" w:hAnsi="Arial" w:cs="Arial"/>
                <w:sz w:val="20"/>
                <w:szCs w:val="21"/>
                <w:lang w:eastAsia="zh-CN"/>
              </w:rPr>
            </w:pPr>
            <w:r>
              <w:rPr>
                <w:rFonts w:hint="default" w:ascii="Arial" w:hAnsi="Arial" w:cs="Arial"/>
                <w:sz w:val="20"/>
                <w:szCs w:val="21"/>
                <w:lang w:eastAsia="zh-CN"/>
              </w:rPr>
              <w:t xml:space="preserve">Agreed: </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Aim to at least analyze the feasibility and benefits of model/transfer solutions based on the following: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1a: gNB can transfer/deliver AI/ML model(s) to UE via RRC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2a: CN (except LMF) can transfer/deliver AI/ML model(s) to UE via NAS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3a: LMF can transfer/deliver AI/ML model(s) to UE via LPP signalling.</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1b: gNB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2b: CN (except LMF)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3b: LMF can transfer/deliver AI/ML model(s) to UE via UP data.</w:t>
            </w:r>
          </w:p>
          <w:p>
            <w:pPr>
              <w:pStyle w:val="26"/>
              <w:numPr>
                <w:ilvl w:val="0"/>
                <w:numId w:val="0"/>
              </w:numPr>
              <w:tabs>
                <w:tab w:val="left" w:pos="1352"/>
              </w:tabs>
              <w:ind w:left="1619"/>
              <w:rPr>
                <w:rFonts w:hint="default" w:ascii="Arial" w:hAnsi="Arial" w:cs="Arial"/>
                <w:sz w:val="20"/>
                <w:szCs w:val="21"/>
                <w:lang w:eastAsia="zh-CN"/>
              </w:rPr>
            </w:pPr>
            <w:r>
              <w:rPr>
                <w:rFonts w:hint="default" w:ascii="Arial" w:hAnsi="Arial" w:cs="Arial"/>
                <w:sz w:val="20"/>
                <w:szCs w:val="21"/>
                <w:lang w:eastAsia="zh-CN"/>
              </w:rPr>
              <w:t>Solution 4: Server (e.g. OAM, OTT) can transfer/delivery AI/ML model(s) to UE (e.g. transparent to 3GPP).</w:t>
            </w:r>
          </w:p>
          <w:p>
            <w:pPr>
              <w:pStyle w:val="26"/>
              <w:tabs>
                <w:tab w:val="left" w:pos="1352"/>
              </w:tabs>
              <w:overflowPunct/>
              <w:autoSpaceDE/>
              <w:autoSpaceDN/>
              <w:adjustRightInd/>
              <w:ind w:left="1619" w:hanging="360"/>
              <w:textAlignment w:val="auto"/>
              <w:rPr>
                <w:rFonts w:hint="default" w:ascii="Arial" w:hAnsi="Arial" w:cs="Arial"/>
                <w:lang w:val="en-GB" w:eastAsia="en-GB"/>
              </w:rPr>
            </w:pPr>
            <w:r>
              <w:rPr>
                <w:rFonts w:hint="default" w:ascii="Arial" w:hAnsi="Arial" w:cs="Arial"/>
                <w:sz w:val="20"/>
                <w:szCs w:val="21"/>
              </w:rPr>
              <w:t xml:space="preserve">The table can serve as starting point for continued discussion (but contains some parts that seems non consensus, e.g. delta configuration). </w:t>
            </w:r>
          </w:p>
        </w:tc>
      </w:tr>
    </w:tbl>
    <w:p>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hint="default" w:ascii="Arial" w:hAnsi="Arial" w:cs="Arial" w:eastAsiaTheme="minorEastAsia"/>
          <w:b/>
          <w:sz w:val="20"/>
          <w:szCs w:val="20"/>
          <w:lang w:eastAsia="zh-CN"/>
        </w:rPr>
      </w:pPr>
    </w:p>
    <w:p>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hint="default" w:ascii="Arial" w:hAnsi="Arial" w:cs="Arial" w:eastAsiaTheme="minorEastAsia"/>
          <w:sz w:val="20"/>
          <w:szCs w:val="20"/>
          <w:lang w:eastAsia="zh-CN"/>
        </w:rPr>
      </w:pPr>
      <w:r>
        <w:rPr>
          <w:rFonts w:hint="default" w:ascii="Arial" w:hAnsi="Arial" w:cs="Arial" w:eastAsiaTheme="minorEastAsia"/>
          <w:b/>
          <w:sz w:val="20"/>
          <w:szCs w:val="20"/>
          <w:lang w:eastAsia="zh-CN"/>
        </w:rPr>
        <w:t>Table: relations between solutions and use cases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8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b/>
                <w:sz w:val="20"/>
                <w:szCs w:val="20"/>
                <w:lang w:eastAsia="zh-CN"/>
              </w:rPr>
            </w:pPr>
            <w:r>
              <w:rPr>
                <w:rFonts w:hint="default" w:ascii="Arial" w:hAnsi="Arial" w:cs="Arial" w:eastAsiaTheme="minorEastAsia"/>
                <w:b/>
                <w:sz w:val="20"/>
                <w:szCs w:val="20"/>
                <w:lang w:eastAsia="zh-CN"/>
              </w:rPr>
              <w:t>Solutions</w:t>
            </w:r>
          </w:p>
        </w:tc>
        <w:tc>
          <w:tcPr>
            <w:tcW w:w="8187" w:type="dxa"/>
          </w:tcPr>
          <w:p>
            <w:pPr>
              <w:rPr>
                <w:rFonts w:hint="default" w:ascii="Arial" w:hAnsi="Arial" w:cs="Arial" w:eastAsiaTheme="minorEastAsia"/>
                <w:b/>
                <w:sz w:val="20"/>
                <w:szCs w:val="20"/>
                <w:lang w:eastAsia="zh-CN"/>
              </w:rPr>
            </w:pPr>
            <w:r>
              <w:rPr>
                <w:rFonts w:hint="default" w:ascii="Arial" w:hAnsi="Arial" w:cs="Arial" w:eastAsiaTheme="minorEastAsia"/>
                <w:b/>
                <w:sz w:val="20"/>
                <w:szCs w:val="20"/>
                <w:lang w:eastAsia="zh-CN"/>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1a, 1b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Note: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2a, 2b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Note: No specific considerations for Positioning accuracy enhancement for Solution 2a and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3a, 3b</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9"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Solution 4</w:t>
            </w:r>
          </w:p>
        </w:tc>
        <w:tc>
          <w:tcPr>
            <w:tcW w:w="8187"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w:t>
      </w:r>
      <w:r>
        <w:rPr>
          <w:rFonts w:ascii="Arial" w:hAnsi="Arial" w:eastAsia="宋体" w:cs="Arial"/>
          <w:kern w:val="0"/>
          <w:sz w:val="20"/>
          <w:szCs w:val="20"/>
          <w:lang w:val="en-GB"/>
        </w:rPr>
        <w:t xml:space="preserve"> </w:t>
      </w:r>
      <w:r>
        <w:rPr>
          <w:rFonts w:ascii="Arial" w:hAnsi="Arial" w:cs="Arial"/>
          <w:sz w:val="20"/>
          <w:szCs w:val="20"/>
        </w:rPr>
        <w:t xml:space="preserve">we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 xml:space="preserve">the </w:t>
      </w:r>
      <w:r>
        <w:rPr>
          <w:rFonts w:hint="eastAsia" w:ascii="Arial" w:hAnsi="Arial" w:cs="Arial"/>
          <w:sz w:val="20"/>
          <w:szCs w:val="20"/>
        </w:rPr>
        <w:t>potential i</w:t>
      </w:r>
      <w:r>
        <w:rPr>
          <w:rFonts w:hint="eastAsia" w:ascii="Arial" w:hAnsi="Arial" w:cs="Arial"/>
          <w:sz w:val="20"/>
          <w:szCs w:val="20"/>
          <w:lang w:val="en-US" w:eastAsia="zh-CN"/>
        </w:rPr>
        <w:t>ssues</w:t>
      </w:r>
      <w:r>
        <w:rPr>
          <w:rFonts w:hint="eastAsia" w:ascii="Arial" w:hAnsi="Arial" w:cs="Arial"/>
          <w:sz w:val="20"/>
          <w:szCs w:val="20"/>
        </w:rPr>
        <w:t xml:space="preserve"> </w:t>
      </w:r>
      <w:r>
        <w:rPr>
          <w:rFonts w:hint="eastAsia" w:ascii="Arial" w:hAnsi="Arial" w:eastAsia="宋体" w:cs="Arial"/>
          <w:kern w:val="0"/>
          <w:sz w:val="20"/>
          <w:szCs w:val="20"/>
        </w:rPr>
        <w:t xml:space="preserve">on </w:t>
      </w:r>
      <w:r>
        <w:rPr>
          <w:rFonts w:hint="eastAsia" w:ascii="Arial" w:hAnsi="Arial" w:eastAsia="宋体" w:cs="Arial"/>
          <w:kern w:val="0"/>
          <w:sz w:val="20"/>
          <w:szCs w:val="20"/>
          <w:lang w:val="en-US" w:eastAsia="zh-CN"/>
        </w:rPr>
        <w:t>AI/ML model transfer/delivery</w:t>
      </w:r>
      <w:r>
        <w:rPr>
          <w:rFonts w:ascii="Arial" w:hAnsi="Arial" w:eastAsia="宋体" w:cs="Arial"/>
          <w:kern w:val="0"/>
          <w:sz w:val="20"/>
          <w:szCs w:val="20"/>
          <w:lang w:val="en-GB"/>
        </w:rPr>
        <w:t>.</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tabs>
          <w:tab w:val="left" w:pos="6654"/>
        </w:tabs>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RAN2 agreed to </w:t>
      </w:r>
      <w:r>
        <w:rPr>
          <w:rFonts w:hint="eastAsia" w:ascii="Arial" w:hAnsi="Arial" w:cs="Arial"/>
          <w:sz w:val="20"/>
          <w:szCs w:val="21"/>
          <w:lang w:val="en-US" w:eastAsia="zh-CN"/>
        </w:rPr>
        <w:t xml:space="preserve">use the following table in [2] as a starting point for continued discussion (but contains some parts that seems non consensus, e.g. delta configuration). </w:t>
      </w:r>
    </w:p>
    <w:tbl>
      <w:tblPr>
        <w:tblStyle w:val="10"/>
        <w:tblW w:w="986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4078"/>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Pr>
          <w:p>
            <w:pPr>
              <w:spacing w:after="0"/>
              <w:rPr>
                <w:rFonts w:hint="default" w:ascii="Arial" w:hAnsi="Arial" w:cs="Arial" w:eastAsiaTheme="minorEastAsia"/>
                <w:b/>
                <w:sz w:val="18"/>
                <w:szCs w:val="18"/>
                <w:lang w:eastAsia="zh-CN"/>
              </w:rPr>
            </w:pPr>
          </w:p>
        </w:tc>
        <w:tc>
          <w:tcPr>
            <w:tcW w:w="4078"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Pros</w:t>
            </w:r>
          </w:p>
        </w:tc>
        <w:tc>
          <w:tcPr>
            <w:tcW w:w="4818"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trPr>
        <w:tc>
          <w:tcPr>
            <w:tcW w:w="964"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1a</w:t>
            </w:r>
          </w:p>
        </w:tc>
        <w:tc>
          <w:tcPr>
            <w:tcW w:w="407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6. The existing RRC signaling solutions can be reused as baseline, at least including delta signaling and segmentation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9. Additional security and verification may not be necessary as the UE already established security before the transfer is initiated</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11. gNB can take the control of the AIML model transfer itself, which can not be achieved by traditional UP based solution</w:t>
            </w:r>
          </w:p>
          <w:p>
            <w:pPr>
              <w:spacing w:after="0"/>
              <w:rPr>
                <w:rFonts w:hint="default" w:ascii="Arial" w:hAnsi="Arial" w:cs="Arial" w:eastAsiaTheme="minorEastAsia"/>
                <w:sz w:val="18"/>
                <w:szCs w:val="18"/>
                <w:lang w:eastAsia="zh-CN"/>
              </w:rPr>
            </w:pPr>
          </w:p>
        </w:tc>
        <w:tc>
          <w:tcPr>
            <w:tcW w:w="481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Face challenges to convey large size or “no upper limit size” AI model by RRC message (e.g. &gt;45kBytes)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Maybe high control plane overhead, as a large model size may need segmentation/transmission/acknowledgment. This consumes critical configuration time for model transfer/delivery</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2a and 3a</w:t>
            </w:r>
          </w:p>
        </w:tc>
        <w:tc>
          <w:tcPr>
            <w:tcW w:w="407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Service continuity on model transfer/delivery is easy to achieve compared with Solution 1a</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6. Impacts on RAN2 may be limited (some companies think that LPP signalling is in RAN2 scope)</w:t>
            </w:r>
          </w:p>
        </w:tc>
        <w:tc>
          <w:tcPr>
            <w:tcW w:w="481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Face challenges to convey large size or “no upper limit size” AI model by RRC message (e.g. &gt;45kBytes)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3. If NAS does the segmentation, it may introduce some overhead</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1b</w:t>
            </w:r>
          </w:p>
        </w:tc>
        <w:tc>
          <w:tcPr>
            <w:tcW w:w="407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The network can provide different 5QIs for model transfer/delivery with different QoS requirements (e.g. can support large model size)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Compared with CP-based solutions, this Solution 1b can reduces control plane overhead, reduces overhead at gNB for model delivery/transfer</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Compared with CP-based solutions, it may not need to consider CP message segmentation, CP message blocking issue</w:t>
            </w:r>
          </w:p>
        </w:tc>
        <w:tc>
          <w:tcPr>
            <w:tcW w:w="481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Not compatible with current mobility procedure. Supporting model transfer during mobility is not so straightforward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2b and 3b</w:t>
            </w:r>
          </w:p>
        </w:tc>
        <w:tc>
          <w:tcPr>
            <w:tcW w:w="407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1. The network can provide different 5QIs for model transfer/delivery with different QoS requirements (e.g. can support large model size)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5. Compared with CP-based solutions, it may not need to consider CP message segmentation, CP message blocking issue</w:t>
            </w:r>
          </w:p>
        </w:tc>
        <w:tc>
          <w:tcPr>
            <w:tcW w:w="481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CP signalling is needed to configure and initiate the model transfer from the CN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May be unable to support delta-model transfer/delivery based on current user plane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Pr>
          <w:p>
            <w:pPr>
              <w:spacing w:after="0"/>
              <w:rPr>
                <w:rFonts w:hint="default" w:ascii="Arial" w:hAnsi="Arial" w:cs="Arial" w:eastAsiaTheme="minorEastAsia"/>
                <w:b/>
                <w:sz w:val="18"/>
                <w:szCs w:val="18"/>
                <w:lang w:eastAsia="zh-CN"/>
              </w:rPr>
            </w:pPr>
            <w:r>
              <w:rPr>
                <w:rFonts w:hint="default" w:ascii="Arial" w:hAnsi="Arial" w:cs="Arial" w:eastAsiaTheme="minorEastAsia"/>
                <w:b/>
                <w:sz w:val="18"/>
                <w:szCs w:val="18"/>
                <w:lang w:eastAsia="zh-CN"/>
              </w:rPr>
              <w:t>Solution 4</w:t>
            </w:r>
          </w:p>
        </w:tc>
        <w:tc>
          <w:tcPr>
            <w:tcW w:w="407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818" w:type="dxa"/>
          </w:tcPr>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2. There may be inter-operability issues, such as:</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a)</w:t>
            </w:r>
            <w:r>
              <w:rPr>
                <w:rFonts w:hint="default" w:ascii="Arial" w:hAnsi="Arial" w:cs="Arial" w:eastAsiaTheme="minorEastAsia"/>
                <w:sz w:val="18"/>
                <w:szCs w:val="18"/>
                <w:lang w:eastAsia="zh-CN"/>
              </w:rPr>
              <w:tab/>
            </w:r>
            <w:r>
              <w:rPr>
                <w:rFonts w:hint="default" w:ascii="Arial" w:hAnsi="Arial" w:cs="Arial" w:eastAsiaTheme="minorEastAsia"/>
                <w:sz w:val="18"/>
                <w:szCs w:val="18"/>
                <w:lang w:eastAsia="zh-CN"/>
              </w:rPr>
              <w:t>Different implementations may lead to different model performances and a huge burden of model management (e.g., frequent model activation/deactivation)</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b)</w:t>
            </w:r>
            <w:r>
              <w:rPr>
                <w:rFonts w:hint="default" w:ascii="Arial" w:hAnsi="Arial" w:cs="Arial" w:eastAsiaTheme="minorEastAsia"/>
                <w:sz w:val="18"/>
                <w:szCs w:val="18"/>
                <w:lang w:eastAsia="zh-CN"/>
              </w:rPr>
              <w:tab/>
            </w:r>
            <w:r>
              <w:rPr>
                <w:rFonts w:hint="default" w:ascii="Arial" w:hAnsi="Arial" w:cs="Arial" w:eastAsiaTheme="minorEastAsia"/>
                <w:sz w:val="18"/>
                <w:szCs w:val="18"/>
                <w:lang w:eastAsia="zh-CN"/>
              </w:rPr>
              <w:t>Massive offline coordination is needed or requires lots of coordinations among vendors, especially for the CSI compression use case</w:t>
            </w:r>
          </w:p>
          <w:p>
            <w:pPr>
              <w:spacing w:after="0"/>
              <w:rPr>
                <w:rFonts w:hint="default" w:ascii="Arial" w:hAnsi="Arial" w:cs="Arial" w:eastAsiaTheme="minorEastAsia"/>
                <w:sz w:val="18"/>
                <w:szCs w:val="18"/>
                <w:lang w:eastAsia="zh-CN"/>
              </w:rPr>
            </w:pPr>
            <w:r>
              <w:rPr>
                <w:rFonts w:hint="default" w:ascii="Arial" w:hAnsi="Arial" w:cs="Arial" w:eastAsiaTheme="minorEastAsia"/>
                <w:sz w:val="18"/>
                <w:szCs w:val="18"/>
                <w:lang w:eastAsia="zh-CN"/>
              </w:rPr>
              <w:t>4. When network cannot control the model transfer/delivery, the transfer of large model may impact important and delay sensitive user data traffic</w:t>
            </w: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feedback enhancement and beam management use case, CP-based and UP-based solutions between UE and gNB/CN is proposed. However, for CN involved solution (i.e. solution 2a and 2b), we think the motivation is still unclear because the use cases (i.e. CSI feedback and beam management) is purely over air interface which only involves UE and gNB. Thus, it is tricky for CN to collect all necessary data for model training and perform model transfer. In addition, it is also hard for CN to understand the physical parameters and determine which AI/ML model is applicable for the specific use case. On the other hand, solution 2a and 2b need more works in other WGs (e.g. SA2, CT1). </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Therefore, we propose to not consider CN involved solution (i.e. solution 2a and 2b) for CSI feedback enhancement and beam management in R18 SI.</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not pursued for model transfer/delivery for CSI feedback enhancement and beam management in R18 SI.</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general, the UP-based solution can support the large size model transfer/delivery or transfer/delivery multiple models simultaneously, while the CP-based solution is challenged due to the limited signaling size. However, for solution 1b, as many companies commented, existing user plane is not applicable since it terminates at UE and UPF. Some companies proposed to introduce a new layer to handle the AI model transfer functionality or a new UP tunnel between gNB and UE. This will change the basic protocol stack of NR and has significant impacts on overall architecture and specs. As per the following note in WID [3], the study on AI/ML for air interface is based on the current RAN architecture, so solution 1b should not be pursued in R18 SI since it is conflicted with WID.</w:t>
      </w:r>
    </w:p>
    <w:p>
      <w:pPr>
        <w:pBdr>
          <w:top w:val="single" w:color="auto" w:sz="4" w:space="1"/>
          <w:left w:val="single" w:color="auto" w:sz="4" w:space="4"/>
          <w:bottom w:val="single" w:color="auto" w:sz="4" w:space="1"/>
          <w:right w:val="single" w:color="auto" w:sz="4" w:space="4"/>
        </w:pBdr>
        <w:ind w:left="360"/>
        <w:rPr>
          <w:rFonts w:hint="default" w:ascii="Arial" w:hAnsi="Arial" w:cs="Arial"/>
          <w:bCs/>
          <w:sz w:val="20"/>
          <w:szCs w:val="20"/>
        </w:rPr>
      </w:pPr>
      <w:r>
        <w:rPr>
          <w:rFonts w:hint="default" w:ascii="Arial" w:hAnsi="Arial" w:cs="Arial"/>
          <w:bCs/>
          <w:sz w:val="20"/>
          <w:szCs w:val="20"/>
        </w:rPr>
        <w:t>Note 2: The study on AI/ML for air interface is based on the current RAN architecture and new interfaces shall not be introduced.</w:t>
      </w:r>
    </w:p>
    <w:p>
      <w:pPr>
        <w:widowControl/>
        <w:tabs>
          <w:tab w:val="left" w:pos="1577"/>
        </w:tabs>
        <w:spacing w:before="120" w:beforeLines="50" w:after="180"/>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Solution 1b is not pursued in R18 SI since it may have impacts on the current RAN architecture.</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solution 1a (i.e. RRC signaling between UE and gNB), it is totally in RAN2 scope. During the online discussion in RAN2#121 meeting, there may be no consensus on delta signaling. We understand that this is similar to legacy delta configuration which means only different parameters for model are configured. </w:t>
      </w:r>
    </w:p>
    <w:p>
      <w:pPr>
        <w:widowControl/>
        <w:spacing w:before="120" w:beforeLines="50" w:after="180"/>
        <w:rPr>
          <w:rFonts w:hint="default" w:ascii="Arial" w:hAnsi="Arial" w:eastAsia="宋体" w:cs="Arial"/>
          <w:b w:val="0"/>
          <w:bCs w:val="0"/>
          <w:kern w:val="0"/>
          <w:sz w:val="20"/>
          <w:szCs w:val="20"/>
          <w:lang w:val="en-US" w:eastAsia="zh-CN"/>
        </w:rPr>
      </w:pPr>
      <w:r>
        <w:rPr>
          <w:rFonts w:hint="eastAsia" w:ascii="Arial" w:hAnsi="Arial" w:eastAsia="宋体" w:cs="Arial"/>
          <w:kern w:val="0"/>
          <w:sz w:val="20"/>
          <w:szCs w:val="20"/>
          <w:lang w:val="en-US" w:eastAsia="zh-CN"/>
        </w:rPr>
        <w:t xml:space="preserve">In RAN1#112 and RAN1#113 meeting, </w:t>
      </w:r>
      <w:r>
        <w:rPr>
          <w:rFonts w:hint="eastAsia" w:ascii="Arial" w:hAnsi="Arial" w:eastAsia="宋体" w:cs="Arial"/>
          <w:b w:val="0"/>
          <w:bCs w:val="0"/>
          <w:kern w:val="0"/>
          <w:sz w:val="20"/>
          <w:szCs w:val="20"/>
          <w:lang w:val="en-US" w:eastAsia="zh-CN"/>
        </w:rPr>
        <w:t xml:space="preserve">RAN1 agreed to consider model transfer in different format (i.e. proprietary format, open format of a known model structure, open format of an unknown model structure) and confirmed the meaning of known and unknown model structure as follows.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0" w:firstLine="0"/>
              <w:rPr>
                <w:rFonts w:hint="default" w:ascii="Times New Roman" w:hAnsi="Times New Roman" w:eastAsia="等线" w:cs="Times New Roman"/>
                <w:b/>
                <w:sz w:val="20"/>
                <w:szCs w:val="20"/>
                <w:highlight w:val="green"/>
                <w:lang w:eastAsia="zh-CN"/>
              </w:rPr>
            </w:pPr>
            <w:r>
              <w:rPr>
                <w:rFonts w:hint="default" w:ascii="Times New Roman" w:hAnsi="Times New Roman" w:eastAsia="宋体" w:cs="Times New Roman"/>
                <w:b/>
                <w:bCs/>
                <w:kern w:val="0"/>
                <w:sz w:val="20"/>
                <w:szCs w:val="20"/>
                <w:highlight w:val="green"/>
                <w:lang w:val="en-US" w:eastAsia="zh-CN"/>
              </w:rPr>
              <w:t xml:space="preserve">RAN1#112 </w:t>
            </w:r>
            <w:r>
              <w:rPr>
                <w:rFonts w:hint="default" w:ascii="Times New Roman" w:hAnsi="Times New Roman" w:eastAsia="等线" w:cs="Times New Roman"/>
                <w:b/>
                <w:sz w:val="20"/>
                <w:szCs w:val="20"/>
                <w:highlight w:val="green"/>
                <w:lang w:eastAsia="zh-CN"/>
              </w:rPr>
              <w:t>Agreement</w:t>
            </w:r>
          </w:p>
          <w:p>
            <w:pPr>
              <w:ind w:left="0" w:firstLine="0"/>
              <w:rPr>
                <w:rFonts w:hint="default" w:ascii="Times New Roman" w:hAnsi="Times New Roman" w:cs="Times New Roman"/>
                <w:b/>
                <w:sz w:val="20"/>
                <w:szCs w:val="20"/>
              </w:rPr>
            </w:pPr>
            <w:r>
              <w:rPr>
                <w:rFonts w:hint="default" w:ascii="Times New Roman" w:hAnsi="Times New Roman" w:cs="Times New Roman"/>
                <w:bCs/>
                <w:sz w:val="20"/>
                <w:szCs w:val="20"/>
              </w:rPr>
              <w:t xml:space="preserve">To facilitate the discussion, consider at least the following Cases for model delivery/transfer to UE, training location, and model delivery/transfer format combinations for UE-side models and UE-part of two-sided models.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811"/>
              <w:gridCol w:w="2184"/>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Case</w:t>
                  </w:r>
                </w:p>
              </w:tc>
              <w:tc>
                <w:tcPr>
                  <w:tcW w:w="392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Model delivery/transfer</w:t>
                  </w:r>
                </w:p>
              </w:tc>
              <w:tc>
                <w:tcPr>
                  <w:tcW w:w="2250"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Model storage location</w:t>
                  </w:r>
                </w:p>
              </w:tc>
              <w:tc>
                <w:tcPr>
                  <w:tcW w:w="3060"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y</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delivery (if needed) over-the-top</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Outside 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z1</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proprietary format</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z2</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proprietary format</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z3</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open format</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z4</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open format of a known model structure at UE</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ind w:left="0" w:firstLine="0"/>
                    <w:rPr>
                      <w:rFonts w:hint="default" w:ascii="Times New Roman" w:hAnsi="Times New Roman" w:cs="Times New Roman"/>
                      <w:b/>
                      <w:sz w:val="20"/>
                      <w:szCs w:val="20"/>
                    </w:rPr>
                  </w:pPr>
                  <w:r>
                    <w:rPr>
                      <w:rFonts w:hint="default" w:ascii="Times New Roman" w:hAnsi="Times New Roman" w:cs="Times New Roman"/>
                      <w:b/>
                      <w:sz w:val="20"/>
                      <w:szCs w:val="20"/>
                    </w:rPr>
                    <w:t>z5</w:t>
                  </w:r>
                </w:p>
              </w:tc>
              <w:tc>
                <w:tcPr>
                  <w:tcW w:w="3924"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model transfer in open format of an unknown model structure at UE</w:t>
                  </w:r>
                </w:p>
              </w:tc>
              <w:tc>
                <w:tcPr>
                  <w:tcW w:w="225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3GPP Network</w:t>
                  </w:r>
                </w:p>
              </w:tc>
              <w:tc>
                <w:tcPr>
                  <w:tcW w:w="3060" w:type="dxa"/>
                  <w:shd w:val="clear" w:color="auto" w:fill="auto"/>
                </w:tcPr>
                <w:p>
                  <w:pPr>
                    <w:ind w:left="0" w:firstLine="0"/>
                    <w:rPr>
                      <w:rFonts w:hint="default" w:ascii="Times New Roman" w:hAnsi="Times New Roman" w:cs="Times New Roman"/>
                      <w:sz w:val="20"/>
                      <w:szCs w:val="20"/>
                    </w:rPr>
                  </w:pPr>
                  <w:r>
                    <w:rPr>
                      <w:rFonts w:hint="default" w:ascii="Times New Roman" w:hAnsi="Times New Roman" w:cs="Times New Roman"/>
                      <w:sz w:val="20"/>
                      <w:szCs w:val="20"/>
                    </w:rPr>
                    <w:t>NW-side</w:t>
                  </w:r>
                </w:p>
              </w:tc>
            </w:tr>
          </w:tbl>
          <w:p>
            <w:pPr>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Note: The Case definition is only for the purpose of facilitating discussion and does not imply applicability, feasibility, entity mapping, architecture, signalling nor any prioritization.</w:t>
            </w:r>
          </w:p>
          <w:p>
            <w:pPr>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Note: The Case definition is NOT intended to introduce sub-levels of Level z.</w:t>
            </w:r>
          </w:p>
          <w:p>
            <w:pPr>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Note: Other cases may be included further upon interest from companies.</w:t>
            </w:r>
          </w:p>
          <w:p>
            <w:pPr>
              <w:ind w:left="0" w:firstLine="0"/>
              <w:rPr>
                <w:rFonts w:hint="default" w:ascii="Arial" w:hAnsi="Arial" w:eastAsia="等线" w:cs="Arial"/>
                <w:bCs/>
                <w:sz w:val="20"/>
                <w:szCs w:val="20"/>
                <w:lang w:eastAsia="zh-CN"/>
              </w:rPr>
            </w:pPr>
            <w:r>
              <w:rPr>
                <w:rFonts w:hint="default" w:ascii="Times New Roman" w:hAnsi="Times New Roman" w:eastAsia="等线" w:cs="Times New Roman"/>
                <w:bCs/>
                <w:sz w:val="20"/>
                <w:szCs w:val="20"/>
                <w:lang w:eastAsia="zh-CN"/>
              </w:rPr>
              <w:t xml:space="preserve">FFS: Z4 and Z5 boundary </w:t>
            </w:r>
          </w:p>
          <w:p>
            <w:pPr>
              <w:keepNext w:val="0"/>
              <w:keepLines w:val="0"/>
              <w:pageBreakBefore w:val="0"/>
              <w:kinsoku/>
              <w:wordWrap/>
              <w:overflowPunct/>
              <w:topLinePunct w:val="0"/>
              <w:bidi w:val="0"/>
              <w:adjustRightInd w:val="0"/>
              <w:snapToGrid w:val="0"/>
              <w:spacing w:beforeAutospacing="0" w:line="240" w:lineRule="auto"/>
              <w:ind w:left="0" w:firstLine="0"/>
              <w:textAlignment w:val="auto"/>
              <w:rPr>
                <w:rFonts w:hint="default" w:ascii="Times New Roman" w:hAnsi="Times New Roman" w:eastAsia="等线" w:cs="Times New Roman"/>
                <w:b/>
                <w:bCs w:val="0"/>
                <w:sz w:val="20"/>
                <w:szCs w:val="20"/>
                <w:highlight w:val="green"/>
                <w:lang w:eastAsia="zh-CN"/>
              </w:rPr>
            </w:pPr>
            <w:r>
              <w:rPr>
                <w:rFonts w:hint="eastAsia" w:ascii="Times New Roman" w:hAnsi="Times New Roman" w:eastAsia="等线" w:cs="Times New Roman"/>
                <w:b/>
                <w:bCs w:val="0"/>
                <w:sz w:val="20"/>
                <w:szCs w:val="20"/>
                <w:highlight w:val="green"/>
                <w:lang w:val="en-US" w:eastAsia="zh-CN"/>
              </w:rPr>
              <w:t xml:space="preserve">RAN1#113 </w:t>
            </w:r>
            <w:r>
              <w:rPr>
                <w:rFonts w:hint="default" w:ascii="Times New Roman" w:hAnsi="Times New Roman" w:eastAsia="等线" w:cs="Times New Roman"/>
                <w:b/>
                <w:bCs w:val="0"/>
                <w:sz w:val="20"/>
                <w:szCs w:val="20"/>
                <w:highlight w:val="green"/>
                <w:lang w:eastAsia="zh-CN"/>
              </w:rPr>
              <w:t>Agreement</w:t>
            </w:r>
          </w:p>
          <w:p>
            <w:pPr>
              <w:keepNext w:val="0"/>
              <w:keepLines w:val="0"/>
              <w:pageBreakBefore w:val="0"/>
              <w:kinsoku/>
              <w:wordWrap/>
              <w:overflowPunct/>
              <w:topLinePunct w:val="0"/>
              <w:bidi w:val="0"/>
              <w:adjustRightInd w:val="0"/>
              <w:snapToGrid w:val="0"/>
              <w:spacing w:beforeAutospacing="0" w:line="240" w:lineRule="auto"/>
              <w:ind w:left="0" w:firstLine="0"/>
              <w:textAlignment w:val="auto"/>
              <w:rPr>
                <w:rFonts w:hint="eastAsia" w:ascii="Times New Roman" w:hAnsi="Times New Roman" w:eastAsia="宋体" w:cs="Times New Roman"/>
                <w:bCs/>
                <w:sz w:val="20"/>
                <w:szCs w:val="20"/>
                <w:lang w:eastAsia="zh-CN"/>
              </w:rPr>
            </w:pPr>
            <w:r>
              <w:rPr>
                <w:rFonts w:hint="default" w:ascii="Times New Roman" w:hAnsi="Times New Roman" w:cs="Times New Roman"/>
                <w:bCs/>
                <w:sz w:val="20"/>
                <w:szCs w:val="20"/>
              </w:rPr>
              <w:t xml:space="preserve">In model delivery/transfer Case z4, the “known model structure” means an exact </w:t>
            </w:r>
            <w:r>
              <w:rPr>
                <w:rFonts w:hint="default" w:ascii="Times New Roman" w:hAnsi="Times New Roman" w:cs="Times New Roman"/>
                <w:bCs/>
                <w:color w:val="000000" w:themeColor="text1"/>
                <w:sz w:val="20"/>
                <w:szCs w:val="20"/>
                <w14:textFill>
                  <w14:solidFill>
                    <w14:schemeClr w14:val="tx1"/>
                  </w14:solidFill>
                </w14:textFill>
              </w:rPr>
              <w:t>model structure</w:t>
            </w:r>
            <w:r>
              <w:rPr>
                <w:rFonts w:hint="default" w:ascii="Times New Roman" w:hAnsi="Times New Roman" w:cs="Times New Roman"/>
                <w:bCs/>
                <w:sz w:val="20"/>
                <w:szCs w:val="20"/>
              </w:rPr>
              <w:t xml:space="preserve"> as has been previously identified between NW and UE and for which the UE has explicitly indicated its support.</w:t>
            </w:r>
          </w:p>
          <w:p>
            <w:pPr>
              <w:keepNext w:val="0"/>
              <w:keepLines w:val="0"/>
              <w:pageBreakBefore w:val="0"/>
              <w:kinsoku/>
              <w:wordWrap/>
              <w:overflowPunct/>
              <w:topLinePunct w:val="0"/>
              <w:bidi w:val="0"/>
              <w:adjustRightInd w:val="0"/>
              <w:snapToGrid w:val="0"/>
              <w:spacing w:beforeAutospacing="0" w:line="240" w:lineRule="auto"/>
              <w:ind w:left="0" w:firstLine="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In model delivery/transfer Case z5, the “unknown model structure” means any other model structure not covered in z4, including any model structure that is only partially known. </w:t>
            </w:r>
          </w:p>
          <w:p>
            <w:pPr>
              <w:ind w:left="0" w:firstLine="0"/>
              <w:rPr>
                <w:rFonts w:hint="default" w:ascii="Arial" w:hAnsi="Arial" w:eastAsia="等线" w:cs="Arial"/>
                <w:bCs/>
                <w:sz w:val="20"/>
                <w:szCs w:val="20"/>
                <w:lang w:val="en-US" w:eastAsia="zh-CN"/>
              </w:rPr>
            </w:pPr>
          </w:p>
        </w:tc>
      </w:tr>
    </w:tbl>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addition, based on the definition of model transfer, only transfer parameters of a model structure known at the receiving end is supported. Therefore, we understand</w:t>
      </w:r>
      <w:r>
        <w:rPr>
          <w:rFonts w:hint="eastAsia" w:ascii="Arial" w:hAnsi="Arial" w:eastAsia="宋体" w:cs="Arial"/>
          <w:b w:val="0"/>
          <w:bCs w:val="0"/>
          <w:kern w:val="0"/>
          <w:sz w:val="20"/>
          <w:szCs w:val="20"/>
          <w:lang w:val="en-US" w:eastAsia="zh-CN"/>
        </w:rPr>
        <w:t xml:space="preserve"> the pros of delta signaling for solution 1a is beneficial for model delivery/transfer Case z4, since an exact model structure has been previously identified between NW and UE, and delta parameters can be configured to the UE.</w:t>
      </w:r>
    </w:p>
    <w:tbl>
      <w:tblPr>
        <w:tblStyle w:val="9"/>
        <w:tblW w:w="0" w:type="auto"/>
        <w:tblInd w:w="129" w:type="dxa"/>
        <w:shd w:val="clear" w:color="auto" w:fill="FFFFFF"/>
        <w:tblLayout w:type="autofit"/>
        <w:tblCellMar>
          <w:top w:w="0" w:type="dxa"/>
          <w:left w:w="0" w:type="dxa"/>
          <w:bottom w:w="0" w:type="dxa"/>
          <w:right w:w="0" w:type="dxa"/>
        </w:tblCellMar>
      </w:tblPr>
      <w:tblGrid>
        <w:gridCol w:w="2048"/>
        <w:gridCol w:w="7592"/>
      </w:tblGrid>
      <w:tr>
        <w:tblPrEx>
          <w:shd w:val="clear" w:color="auto" w:fill="FFFFFF"/>
        </w:tblPrEx>
        <w:tc>
          <w:tcPr>
            <w:tcW w:w="20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120"/>
              <w:ind w:left="0" w:firstLine="0"/>
              <w:rPr>
                <w:rFonts w:hint="default" w:ascii="Times New Roman" w:hAnsi="Times New Roman" w:eastAsia="等线" w:cs="Times New Roman"/>
                <w:color w:val="auto"/>
                <w:sz w:val="20"/>
                <w:szCs w:val="21"/>
                <w:lang w:val="en-US" w:eastAsia="zh-CN"/>
              </w:rPr>
            </w:pPr>
            <w:r>
              <w:rPr>
                <w:rFonts w:hint="default" w:ascii="Times New Roman" w:hAnsi="Times New Roman" w:eastAsia="等线" w:cs="Times New Roman"/>
                <w:color w:val="auto"/>
                <w:sz w:val="20"/>
                <w:szCs w:val="21"/>
                <w:lang w:val="en-US" w:eastAsia="zh-CN"/>
              </w:rPr>
              <w:t>AI/ML model transfer</w:t>
            </w:r>
          </w:p>
        </w:tc>
        <w:tc>
          <w:tcPr>
            <w:tcW w:w="7592"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pPr>
              <w:spacing w:after="120"/>
              <w:ind w:left="0" w:firstLine="0"/>
              <w:rPr>
                <w:rFonts w:hint="default" w:ascii="Times New Roman" w:hAnsi="Times New Roman" w:eastAsia="等线" w:cs="Times New Roman"/>
                <w:color w:val="auto"/>
                <w:sz w:val="20"/>
                <w:szCs w:val="21"/>
                <w:lang w:val="en-US" w:eastAsia="zh-CN"/>
              </w:rPr>
            </w:pPr>
            <w:r>
              <w:rPr>
                <w:rFonts w:hint="default" w:ascii="Times New Roman" w:hAnsi="Times New Roman" w:eastAsia="等线" w:cs="Times New Roman"/>
                <w:color w:val="auto"/>
                <w:sz w:val="20"/>
                <w:szCs w:val="21"/>
                <w:lang w:val="en-US" w:eastAsia="zh-CN"/>
              </w:rPr>
              <w:t>Delivery of an AI/ML model over the air interface in a manner that is not transparent to 3GPP signaling, either parameters of a model structure known at the receiving end or a new model with parameters. Delivery may contain a full model or a partial model.</w:t>
            </w:r>
          </w:p>
        </w:tc>
      </w:tr>
    </w:tbl>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The pros of delta signaling for solution 1a is beneficial for model delivery/transfer Case z4, since an exact model structure has been previously identified between NW and UE, and delta parameters can be configured to the UE.</w:t>
      </w:r>
    </w:p>
    <w:p>
      <w:pPr>
        <w:widowControl/>
        <w:spacing w:before="120" w:beforeLines="50" w:after="180"/>
        <w:jc w:val="both"/>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solution 1a, the biggest challenge is to transfer a large size model </w:t>
      </w:r>
      <w:r>
        <w:rPr>
          <w:rFonts w:hint="default" w:ascii="Arial" w:hAnsi="Arial" w:eastAsia="宋体" w:cs="Arial"/>
          <w:kern w:val="0"/>
          <w:sz w:val="20"/>
          <w:szCs w:val="20"/>
          <w:lang w:val="en-US" w:eastAsia="zh-CN"/>
        </w:rPr>
        <w:t>(e.g. &gt;45kBytes)</w:t>
      </w:r>
      <w:r>
        <w:rPr>
          <w:rFonts w:hint="eastAsia" w:ascii="Arial" w:hAnsi="Arial" w:eastAsia="宋体" w:cs="Arial"/>
          <w:kern w:val="0"/>
          <w:sz w:val="20"/>
          <w:szCs w:val="20"/>
          <w:lang w:val="en-US" w:eastAsia="zh-CN"/>
        </w:rPr>
        <w:t>. The straightforward way is to extend the maximum of RRC segmentation, but the exact number of RRC segmentation needs to be further discussed and may depends on RAN1</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input on model size. Of course, other enhancements are not precluded.</w:t>
      </w:r>
    </w:p>
    <w:p>
      <w:pPr>
        <w:widowControl/>
        <w:spacing w:before="120" w:beforeLines="50" w:after="180"/>
        <w:jc w:val="both"/>
        <w:rPr>
          <w:rFonts w:hint="default" w:ascii="Arial" w:hAnsi="Arial" w:cs="Arial" w:eastAsiaTheme="minorEastAsia"/>
          <w:sz w:val="18"/>
          <w:szCs w:val="18"/>
          <w:lang w:eastAsia="zh-CN"/>
        </w:rPr>
      </w:pPr>
      <w:r>
        <w:rPr>
          <w:rFonts w:hint="eastAsia" w:ascii="Arial" w:hAnsi="Arial" w:eastAsia="宋体" w:cs="Arial"/>
          <w:kern w:val="0"/>
          <w:sz w:val="20"/>
          <w:szCs w:val="20"/>
          <w:lang w:val="en-US" w:eastAsia="zh-CN"/>
        </w:rPr>
        <w:t xml:space="preserve">The other potential issue of solution 1a is the transfer continuity during mobility, since there is no current procedure to resume control plane transmission across gNBs. </w:t>
      </w:r>
      <w:r>
        <w:rPr>
          <w:rFonts w:hint="default" w:ascii="Arial" w:hAnsi="Arial" w:eastAsia="宋体" w:cs="Arial"/>
          <w:kern w:val="0"/>
          <w:sz w:val="20"/>
          <w:szCs w:val="20"/>
          <w:lang w:val="en-US" w:eastAsia="zh-CN"/>
        </w:rPr>
        <w:t xml:space="preserve">Some companies </w:t>
      </w:r>
      <w:r>
        <w:rPr>
          <w:rFonts w:hint="eastAsia" w:ascii="Arial" w:hAnsi="Arial" w:eastAsia="宋体" w:cs="Arial"/>
          <w:kern w:val="0"/>
          <w:sz w:val="20"/>
          <w:szCs w:val="20"/>
          <w:lang w:val="en-US" w:eastAsia="zh-CN"/>
        </w:rPr>
        <w:t>proposed that</w:t>
      </w:r>
      <w:r>
        <w:rPr>
          <w:rFonts w:hint="default" w:ascii="Arial" w:hAnsi="Arial" w:eastAsia="宋体" w:cs="Arial"/>
          <w:kern w:val="0"/>
          <w:sz w:val="20"/>
          <w:szCs w:val="20"/>
          <w:lang w:val="en-US" w:eastAsia="zh-CN"/>
        </w:rPr>
        <w:t xml:space="preserve"> it depends on how frequent gNB to send new/updated AI/ML </w:t>
      </w:r>
      <w:r>
        <w:rPr>
          <w:rFonts w:hint="eastAsia" w:ascii="Arial" w:hAnsi="Arial" w:eastAsia="宋体" w:cs="Arial"/>
          <w:kern w:val="0"/>
          <w:sz w:val="20"/>
          <w:szCs w:val="20"/>
          <w:lang w:val="en-US" w:eastAsia="zh-CN"/>
        </w:rPr>
        <w:t xml:space="preserve">model </w:t>
      </w:r>
      <w:r>
        <w:rPr>
          <w:rFonts w:hint="default" w:ascii="Arial" w:hAnsi="Arial" w:eastAsia="宋体" w:cs="Arial"/>
          <w:kern w:val="0"/>
          <w:sz w:val="20"/>
          <w:szCs w:val="20"/>
          <w:lang w:val="en-US" w:eastAsia="zh-CN"/>
        </w:rPr>
        <w:t>to the UE</w:t>
      </w:r>
      <w:r>
        <w:rPr>
          <w:rFonts w:hint="eastAsia" w:ascii="Arial" w:hAnsi="Arial" w:eastAsia="宋体" w:cs="Arial"/>
          <w:kern w:val="0"/>
          <w:sz w:val="20"/>
          <w:szCs w:val="20"/>
          <w:lang w:val="en-US" w:eastAsia="zh-CN"/>
        </w:rPr>
        <w:t xml:space="preserve">. We think this may be related to generalization of the AI/ML model. The better the generalization of the model, the less frequently the model is updated. We are fine to study how to guarantee the continuity during mobility at this stage. </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solution 1a, RAN2 can further study how to transfer a large size model via RRC signaling and how to guarantee the continuity during mobility.</w:t>
      </w:r>
    </w:p>
    <w:p>
      <w:pPr>
        <w:widowControl/>
        <w:spacing w:before="120" w:beforeLines="50" w:after="180"/>
        <w:jc w:val="both"/>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For positioning accuracy enhancement, solution 3a and 3b is feasible for model transfer/delivery, since LMF has the ability to collect data from multiple gNBs and UEs for the model training. However, some companies pointed that solution 3b is only included in SA2 TR 23.700-71, and it should be specified by SA2. Thus, we prefer to leave it open until SA2 finishes the normative work on the UP solution. We think RAN2 can firstly focus on solution 3a.</w:t>
      </w:r>
    </w:p>
    <w:p>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positioning accuracy enhancement, RAN2 can focus on solution 3a, and whether/how to support solution 3b can wait SA2</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the UP solution.</w:t>
      </w:r>
    </w:p>
    <w:p>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solution 4, server (e.g. OAM, OTT) can transfer/delivery AI/ML model(s) to UE (e.g. transparent to 3GPP). For OTT server, it is obviously transparent to 3GPP, but for OAM, it may not be transparent to 3GPP since OAM is one of 3GPP network entities. Therefore, we suggest to split solution 4 into the following two solutions:</w:t>
      </w:r>
    </w:p>
    <w:p>
      <w:pPr>
        <w:keepNext w:val="0"/>
        <w:keepLines w:val="0"/>
        <w:pageBreakBefore w:val="0"/>
        <w:widowControl/>
        <w:numPr>
          <w:ilvl w:val="0"/>
          <w:numId w:val="0"/>
        </w:numPr>
        <w:kinsoku/>
        <w:wordWrap/>
        <w:overflowPunct/>
        <w:topLinePunct w:val="0"/>
        <w:autoSpaceDE/>
        <w:autoSpaceDN/>
        <w:bidi w:val="0"/>
        <w:adjustRightInd/>
        <w:snapToGrid/>
        <w:spacing w:after="180"/>
        <w:ind w:left="420" w:leftChars="0"/>
        <w:jc w:val="both"/>
        <w:textAlignment w:val="auto"/>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Solution 4a: OTT server can transfer/delivery AI/ML model(s) to UE (transparent to 3GPP).</w:t>
      </w:r>
    </w:p>
    <w:p>
      <w:pPr>
        <w:keepNext w:val="0"/>
        <w:keepLines w:val="0"/>
        <w:pageBreakBefore w:val="0"/>
        <w:widowControl/>
        <w:numPr>
          <w:ilvl w:val="0"/>
          <w:numId w:val="0"/>
        </w:numPr>
        <w:kinsoku/>
        <w:wordWrap/>
        <w:overflowPunct/>
        <w:topLinePunct w:val="0"/>
        <w:autoSpaceDE/>
        <w:autoSpaceDN/>
        <w:bidi w:val="0"/>
        <w:adjustRightInd/>
        <w:snapToGrid/>
        <w:spacing w:after="180"/>
        <w:ind w:left="420" w:leftChars="0"/>
        <w:jc w:val="both"/>
        <w:textAlignment w:val="auto"/>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Solution 4b: OAM can transfer/delivery AI/ML model(s) to UE.</w:t>
      </w:r>
    </w:p>
    <w:p>
      <w:pPr>
        <w:keepNext w:val="0"/>
        <w:keepLines w:val="0"/>
        <w:pageBreakBefore w:val="0"/>
        <w:widowControl/>
        <w:kinsoku/>
        <w:wordWrap/>
        <w:overflowPunct/>
        <w:topLinePunct w:val="0"/>
        <w:autoSpaceDE/>
        <w:autoSpaceDN/>
        <w:bidi w:val="0"/>
        <w:adjustRightInd/>
        <w:snapToGrid/>
        <w:spacing w:before="0" w:beforeLines="50" w:after="6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It is proposed to split solution 4 to solution 4a and 4b:</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60"/>
        <w:ind w:left="420" w:leftChars="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Solution 4a: OTT server can transfer/delivery AI/ML model(s) to UE (transparent to 3GPP).</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60"/>
        <w:ind w:left="420" w:leftChars="0"/>
        <w:jc w:val="both"/>
        <w:textAlignment w:val="auto"/>
        <w:rPr>
          <w:rFonts w:hint="eastAsia" w:ascii="Arial" w:hAnsi="Arial" w:eastAsia="宋体" w:cs="Arial"/>
          <w:b w:val="0"/>
          <w:bCs w:val="0"/>
          <w:kern w:val="0"/>
          <w:sz w:val="20"/>
          <w:szCs w:val="20"/>
          <w:lang w:val="en-US" w:eastAsia="zh-CN"/>
        </w:rPr>
      </w:pPr>
      <w:r>
        <w:rPr>
          <w:rFonts w:hint="eastAsia" w:ascii="Arial" w:hAnsi="Arial" w:eastAsia="宋体" w:cs="Arial"/>
          <w:b/>
          <w:bCs/>
          <w:kern w:val="0"/>
          <w:sz w:val="20"/>
          <w:szCs w:val="20"/>
          <w:lang w:val="en-US" w:eastAsia="zh-CN"/>
        </w:rPr>
        <w:t>- Solution 4b: OAM can transfer/delivery AI/ML model(s) to UE.</w:t>
      </w:r>
    </w:p>
    <w:p>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Based on the above analysis, the relations between solutions and use cases can be updated as follows:</w:t>
      </w:r>
    </w:p>
    <w:p>
      <w:pPr>
        <w:widowControl/>
        <w:spacing w:before="120" w:beforeLines="50" w:after="180"/>
        <w:jc w:val="center"/>
        <w:rPr>
          <w:rFonts w:hint="eastAsia" w:ascii="Arial" w:hAnsi="Arial" w:eastAsia="宋体" w:cs="Arial"/>
          <w:b w:val="0"/>
          <w:bCs w:val="0"/>
          <w:kern w:val="0"/>
          <w:sz w:val="20"/>
          <w:szCs w:val="20"/>
          <w:lang w:val="en-US" w:eastAsia="zh-CN"/>
        </w:rPr>
      </w:pPr>
      <w:r>
        <w:rPr>
          <w:rFonts w:hint="default" w:ascii="Arial" w:hAnsi="Arial" w:cs="Arial" w:eastAsiaTheme="minorEastAsia"/>
          <w:b/>
          <w:sz w:val="20"/>
          <w:szCs w:val="20"/>
          <w:lang w:eastAsia="zh-CN"/>
        </w:rPr>
        <w:t>Table</w:t>
      </w:r>
      <w:r>
        <w:rPr>
          <w:rFonts w:hint="eastAsia" w:ascii="Arial" w:hAnsi="Arial" w:cs="Arial"/>
          <w:b/>
          <w:sz w:val="20"/>
          <w:szCs w:val="20"/>
          <w:lang w:val="en-US" w:eastAsia="zh-CN"/>
        </w:rPr>
        <w:t xml:space="preserve"> 1</w:t>
      </w:r>
      <w:r>
        <w:rPr>
          <w:rFonts w:hint="default" w:ascii="Arial" w:hAnsi="Arial" w:cs="Arial" w:eastAsiaTheme="minorEastAsia"/>
          <w:b/>
          <w:sz w:val="20"/>
          <w:szCs w:val="20"/>
          <w:lang w:eastAsia="zh-CN"/>
        </w:rPr>
        <w:t>: relations between solutions and use cases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3"/>
        <w:gridCol w:w="6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b/>
                <w:sz w:val="20"/>
                <w:szCs w:val="20"/>
                <w:lang w:val="en-US" w:eastAsia="zh-CN"/>
              </w:rPr>
            </w:pPr>
            <w:r>
              <w:rPr>
                <w:rFonts w:hint="eastAsia" w:ascii="Arial" w:hAnsi="Arial" w:cs="Arial"/>
                <w:b/>
                <w:sz w:val="20"/>
                <w:szCs w:val="20"/>
                <w:lang w:val="en-US" w:eastAsia="zh-CN"/>
              </w:rPr>
              <w:t>Use cases</w:t>
            </w:r>
          </w:p>
        </w:tc>
        <w:tc>
          <w:tcPr>
            <w:tcW w:w="6363" w:type="dxa"/>
          </w:tcPr>
          <w:p>
            <w:pPr>
              <w:rPr>
                <w:rFonts w:hint="default" w:ascii="Arial" w:hAnsi="Arial" w:cs="Arial" w:eastAsiaTheme="minorEastAsia"/>
                <w:b/>
                <w:sz w:val="20"/>
                <w:szCs w:val="20"/>
                <w:lang w:val="en-US" w:eastAsia="zh-CN"/>
              </w:rPr>
            </w:pPr>
            <w:r>
              <w:rPr>
                <w:rFonts w:hint="default" w:ascii="Arial" w:hAnsi="Arial" w:cs="Arial" w:eastAsiaTheme="minorEastAsia"/>
                <w:b/>
                <w:sz w:val="20"/>
                <w:szCs w:val="20"/>
                <w:lang w:eastAsia="zh-CN"/>
              </w:rPr>
              <w:t xml:space="preserve">Applicable </w:t>
            </w:r>
            <w:r>
              <w:rPr>
                <w:rFonts w:hint="eastAsia" w:ascii="Arial" w:hAnsi="Arial" w:cs="Arial"/>
                <w:b/>
                <w:sz w:val="20"/>
                <w:szCs w:val="20"/>
                <w:lang w:val="en-US" w:eastAsia="zh-CN"/>
              </w:rPr>
              <w:t>solutions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tc>
        <w:tc>
          <w:tcPr>
            <w:tcW w:w="6363" w:type="dxa"/>
          </w:tcPr>
          <w:p>
            <w:pPr>
              <w:rPr>
                <w:rFonts w:hint="default" w:ascii="Arial" w:hAnsi="Arial" w:cs="Arial" w:eastAsiaTheme="minorEastAsia"/>
                <w:sz w:val="20"/>
                <w:szCs w:val="20"/>
                <w:lang w:val="en-US" w:eastAsia="zh-CN"/>
              </w:rPr>
            </w:pPr>
            <w:r>
              <w:rPr>
                <w:rFonts w:hint="eastAsia" w:ascii="Arial" w:hAnsi="Arial" w:cs="Arial"/>
                <w:sz w:val="20"/>
                <w:szCs w:val="20"/>
                <w:lang w:val="en-US" w:eastAsia="zh-CN"/>
              </w:rPr>
              <w:t>Solution 1a, solution 4a/4b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tc>
        <w:tc>
          <w:tcPr>
            <w:tcW w:w="6363" w:type="dxa"/>
          </w:tcPr>
          <w:p>
            <w:pPr>
              <w:rPr>
                <w:rFonts w:hint="default" w:ascii="Arial" w:hAnsi="Arial" w:cs="Arial" w:eastAsiaTheme="minorEastAsia"/>
                <w:sz w:val="20"/>
                <w:szCs w:val="20"/>
                <w:lang w:eastAsia="zh-CN"/>
              </w:rPr>
            </w:pPr>
            <w:r>
              <w:rPr>
                <w:rFonts w:hint="eastAsia" w:ascii="Arial" w:hAnsi="Arial" w:cs="Arial"/>
                <w:sz w:val="20"/>
                <w:szCs w:val="20"/>
                <w:lang w:val="en-US" w:eastAsia="zh-CN"/>
              </w:rPr>
              <w:t>Solution 1a, solution 4a/4b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c>
          <w:tcPr>
            <w:tcW w:w="6363" w:type="dxa"/>
          </w:tcPr>
          <w:p>
            <w:pPr>
              <w:rPr>
                <w:rFonts w:hint="default" w:ascii="Arial" w:hAnsi="Arial" w:cs="Arial" w:eastAsiaTheme="minorEastAsia"/>
                <w:sz w:val="20"/>
                <w:szCs w:val="20"/>
                <w:lang w:val="en-US" w:eastAsia="zh-CN"/>
              </w:rPr>
            </w:pPr>
            <w:r>
              <w:rPr>
                <w:rFonts w:hint="eastAsia" w:ascii="Arial" w:hAnsi="Arial" w:cs="Arial"/>
                <w:sz w:val="20"/>
                <w:szCs w:val="20"/>
                <w:lang w:val="en-US" w:eastAsia="zh-CN"/>
              </w:rPr>
              <w:t>Solution 3a, solution 4a/4b</w:t>
            </w:r>
          </w:p>
        </w:tc>
      </w:tr>
    </w:tbl>
    <w:p>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6: RAN2 to use the relations between solutions and use cases in Table 1 for further study. </w:t>
      </w:r>
    </w:p>
    <w:p>
      <w:pPr>
        <w:widowControl/>
        <w:spacing w:before="120" w:beforeLines="50" w:after="180"/>
        <w:jc w:val="both"/>
        <w:rPr>
          <w:rFonts w:hint="default"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model transfer/delivery</w:t>
      </w:r>
      <w:r>
        <w:rPr>
          <w:rFonts w:ascii="Arial" w:hAnsi="Arial" w:eastAsia="宋体" w:cs="Arial"/>
          <w:kern w:val="0"/>
          <w:sz w:val="21"/>
          <w:szCs w:val="21"/>
          <w:lang w:val="en-GB" w:eastAsia="en-US"/>
        </w:rPr>
        <w:t>.</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not pursued for model transfer/delivery for CSI feedback enhancement and beam management in R18 SI.</w:t>
      </w:r>
    </w:p>
    <w:p>
      <w:pPr>
        <w:widowControl/>
        <w:tabs>
          <w:tab w:val="left" w:pos="1577"/>
        </w:tabs>
        <w:spacing w:before="120" w:beforeLines="50" w:after="180"/>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Solution 1b is not pursued in R18 SI since it may have impacts on the current RAN architecture.</w:t>
      </w:r>
    </w:p>
    <w:p>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The pros of delta signaling for solution 1a is beneficial for model delivery/transfer Case z4, since an exact model structure has been previously identified between NW and UE, and delta parameters can be configured to the UE.</w:t>
      </w:r>
    </w:p>
    <w:p>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solution 1a, RAN2 can further study how to transfer a large size model via RRC signaling and how to guarantee the continuity during mobility.</w:t>
      </w:r>
    </w:p>
    <w:p>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positioning accuracy enhancement, RAN2 can focus on solution 3a, and whether/how to support solution 3b can wait SA2</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the UP solution.</w:t>
      </w:r>
    </w:p>
    <w:p>
      <w:pPr>
        <w:keepNext w:val="0"/>
        <w:keepLines w:val="0"/>
        <w:pageBreakBefore w:val="0"/>
        <w:widowControl/>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It is proposed to split solution 4 to solution 4a and 4b:</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ind w:left="420" w:leftChars="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Solution 4a: OTT server can transfer/delivery AI/ML model(s) to UE (transparent to 3GPP).</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ind w:left="420" w:leftChars="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Solution 4b: OAM can transfer/delivery AI/ML model(s) to UE.</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6: RAN2 to use the relations between solutions and use cases in Table 1 for further study. </w:t>
      </w:r>
    </w:p>
    <w:p>
      <w:pPr>
        <w:widowControl/>
        <w:spacing w:before="120" w:beforeLines="50" w:after="180"/>
        <w:jc w:val="center"/>
        <w:rPr>
          <w:rFonts w:hint="eastAsia" w:ascii="Arial" w:hAnsi="Arial" w:eastAsia="宋体" w:cs="Arial"/>
          <w:b w:val="0"/>
          <w:bCs w:val="0"/>
          <w:kern w:val="0"/>
          <w:sz w:val="20"/>
          <w:szCs w:val="20"/>
          <w:lang w:val="en-US" w:eastAsia="zh-CN"/>
        </w:rPr>
      </w:pPr>
      <w:r>
        <w:rPr>
          <w:rFonts w:hint="default" w:ascii="Arial" w:hAnsi="Arial" w:cs="Arial" w:eastAsiaTheme="minorEastAsia"/>
          <w:b/>
          <w:sz w:val="20"/>
          <w:szCs w:val="20"/>
          <w:lang w:eastAsia="zh-CN"/>
        </w:rPr>
        <w:t>Table</w:t>
      </w:r>
      <w:r>
        <w:rPr>
          <w:rFonts w:hint="eastAsia" w:ascii="Arial" w:hAnsi="Arial" w:cs="Arial"/>
          <w:b/>
          <w:sz w:val="20"/>
          <w:szCs w:val="20"/>
          <w:lang w:val="en-US" w:eastAsia="zh-CN"/>
        </w:rPr>
        <w:t xml:space="preserve"> 1</w:t>
      </w:r>
      <w:r>
        <w:rPr>
          <w:rFonts w:hint="default" w:ascii="Arial" w:hAnsi="Arial" w:cs="Arial" w:eastAsiaTheme="minorEastAsia"/>
          <w:b/>
          <w:sz w:val="20"/>
          <w:szCs w:val="20"/>
          <w:lang w:eastAsia="zh-CN"/>
        </w:rPr>
        <w:t>: relations between solutions and use cases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3"/>
        <w:gridCol w:w="6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b/>
                <w:sz w:val="20"/>
                <w:szCs w:val="20"/>
                <w:lang w:val="en-US" w:eastAsia="zh-CN"/>
              </w:rPr>
            </w:pPr>
            <w:r>
              <w:rPr>
                <w:rFonts w:hint="eastAsia" w:ascii="Arial" w:hAnsi="Arial" w:cs="Arial"/>
                <w:b/>
                <w:sz w:val="20"/>
                <w:szCs w:val="20"/>
                <w:lang w:val="en-US" w:eastAsia="zh-CN"/>
              </w:rPr>
              <w:t>Use cases</w:t>
            </w:r>
          </w:p>
        </w:tc>
        <w:tc>
          <w:tcPr>
            <w:tcW w:w="6363" w:type="dxa"/>
          </w:tcPr>
          <w:p>
            <w:pPr>
              <w:rPr>
                <w:rFonts w:hint="default" w:ascii="Arial" w:hAnsi="Arial" w:cs="Arial" w:eastAsiaTheme="minorEastAsia"/>
                <w:b/>
                <w:sz w:val="20"/>
                <w:szCs w:val="20"/>
                <w:lang w:val="en-US" w:eastAsia="zh-CN"/>
              </w:rPr>
            </w:pPr>
            <w:r>
              <w:rPr>
                <w:rFonts w:hint="default" w:ascii="Arial" w:hAnsi="Arial" w:cs="Arial" w:eastAsiaTheme="minorEastAsia"/>
                <w:b/>
                <w:sz w:val="20"/>
                <w:szCs w:val="20"/>
                <w:lang w:eastAsia="zh-CN"/>
              </w:rPr>
              <w:t xml:space="preserve">Applicable </w:t>
            </w:r>
            <w:r>
              <w:rPr>
                <w:rFonts w:hint="eastAsia" w:ascii="Arial" w:hAnsi="Arial" w:cs="Arial"/>
                <w:b/>
                <w:sz w:val="20"/>
                <w:szCs w:val="20"/>
                <w:lang w:val="en-US" w:eastAsia="zh-CN"/>
              </w:rPr>
              <w:t>solutions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CSI feedback enhancement</w:t>
            </w:r>
          </w:p>
        </w:tc>
        <w:tc>
          <w:tcPr>
            <w:tcW w:w="6363" w:type="dxa"/>
          </w:tcPr>
          <w:p>
            <w:pPr>
              <w:rPr>
                <w:rFonts w:hint="default" w:ascii="Arial" w:hAnsi="Arial" w:cs="Arial" w:eastAsiaTheme="minorEastAsia"/>
                <w:sz w:val="20"/>
                <w:szCs w:val="20"/>
                <w:lang w:val="en-US" w:eastAsia="zh-CN"/>
              </w:rPr>
            </w:pPr>
            <w:r>
              <w:rPr>
                <w:rFonts w:hint="eastAsia" w:ascii="Arial" w:hAnsi="Arial" w:cs="Arial"/>
                <w:sz w:val="20"/>
                <w:szCs w:val="20"/>
                <w:lang w:val="en-US" w:eastAsia="zh-CN"/>
              </w:rPr>
              <w:t>Solution 1a, solution 4a/4b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Beam management</w:t>
            </w:r>
          </w:p>
        </w:tc>
        <w:tc>
          <w:tcPr>
            <w:tcW w:w="6363" w:type="dxa"/>
          </w:tcPr>
          <w:p>
            <w:pPr>
              <w:rPr>
                <w:rFonts w:hint="default" w:ascii="Arial" w:hAnsi="Arial" w:cs="Arial" w:eastAsiaTheme="minorEastAsia"/>
                <w:sz w:val="20"/>
                <w:szCs w:val="20"/>
                <w:lang w:eastAsia="zh-CN"/>
              </w:rPr>
            </w:pPr>
            <w:r>
              <w:rPr>
                <w:rFonts w:hint="eastAsia" w:ascii="Arial" w:hAnsi="Arial" w:cs="Arial"/>
                <w:sz w:val="20"/>
                <w:szCs w:val="20"/>
                <w:lang w:val="en-US" w:eastAsia="zh-CN"/>
              </w:rPr>
              <w:t>Solution 1a, solution 4a/4b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63" w:type="dxa"/>
          </w:tcPr>
          <w:p>
            <w:pPr>
              <w:rPr>
                <w:rFonts w:hint="default" w:ascii="Arial" w:hAnsi="Arial" w:cs="Arial" w:eastAsiaTheme="minorEastAsia"/>
                <w:sz w:val="20"/>
                <w:szCs w:val="20"/>
                <w:lang w:eastAsia="zh-CN"/>
              </w:rPr>
            </w:pPr>
            <w:r>
              <w:rPr>
                <w:rFonts w:hint="default" w:ascii="Arial" w:hAnsi="Arial" w:cs="Arial" w:eastAsiaTheme="minorEastAsia"/>
                <w:sz w:val="20"/>
                <w:szCs w:val="20"/>
                <w:lang w:eastAsia="zh-CN"/>
              </w:rPr>
              <w:t>Positioning accuracy enhancement</w:t>
            </w:r>
          </w:p>
        </w:tc>
        <w:tc>
          <w:tcPr>
            <w:tcW w:w="6363" w:type="dxa"/>
          </w:tcPr>
          <w:p>
            <w:pPr>
              <w:rPr>
                <w:rFonts w:hint="default" w:ascii="Arial" w:hAnsi="Arial" w:cs="Arial" w:eastAsiaTheme="minorEastAsia"/>
                <w:sz w:val="20"/>
                <w:szCs w:val="20"/>
                <w:lang w:val="en-US" w:eastAsia="zh-CN"/>
              </w:rPr>
            </w:pPr>
            <w:r>
              <w:rPr>
                <w:rFonts w:hint="eastAsia" w:ascii="Arial" w:hAnsi="Arial" w:cs="Arial"/>
                <w:sz w:val="20"/>
                <w:szCs w:val="20"/>
                <w:lang w:val="en-US" w:eastAsia="zh-CN"/>
              </w:rPr>
              <w:t>Solution 3a, solution 4a/4b</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#121, Athens, Greece</w:t>
      </w:r>
    </w:p>
    <w:p>
      <w:pPr>
        <w:widowControl/>
        <w:numPr>
          <w:ilvl w:val="0"/>
          <w:numId w:val="6"/>
        </w:numPr>
        <w:overflowPunct w:val="0"/>
        <w:autoSpaceDE w:val="0"/>
        <w:autoSpaceDN w:val="0"/>
        <w:adjustRightInd w:val="0"/>
        <w:spacing w:after="180"/>
        <w:jc w:val="left"/>
        <w:textAlignment w:val="baseline"/>
        <w:rPr>
          <w:sz w:val="20"/>
          <w:szCs w:val="20"/>
          <w:lang w:val="en-GB"/>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302268</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Offline 027 model transfer delivery (Huawei)</w:t>
      </w:r>
    </w:p>
    <w:p>
      <w:pPr>
        <w:widowControl/>
        <w:numPr>
          <w:ilvl w:val="0"/>
          <w:numId w:val="6"/>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RP-213599</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zh-CN"/>
        </w:rPr>
        <w:t>Study on Artificial Intelligence (AI)/Machine Learning (ML) for NR Air Interface</w:t>
      </w:r>
      <w:r>
        <w:rPr>
          <w:rFonts w:hint="eastAsia" w:ascii="Arial" w:hAnsi="Arial" w:eastAsia="宋体" w:cs="Arial"/>
          <w:kern w:val="0"/>
          <w:sz w:val="20"/>
          <w:szCs w:val="20"/>
          <w:lang w:val="en-GB" w:eastAsia="en-US"/>
        </w:rPr>
        <w:t xml:space="preserve"> </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50BED944"/>
    <w:multiLevelType w:val="singleLevel"/>
    <w:tmpl w:val="50BED944"/>
    <w:lvl w:ilvl="0" w:tentative="0">
      <w:start w:val="1"/>
      <w:numFmt w:val="decimal"/>
      <w:lvlText w:val="%1"/>
      <w:lvlJc w:val="left"/>
    </w:lvl>
  </w:abstractNum>
  <w:abstractNum w:abstractNumId="4">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4B10"/>
    <w:rsid w:val="01FE2D6C"/>
    <w:rsid w:val="029439C7"/>
    <w:rsid w:val="038A1F16"/>
    <w:rsid w:val="04A37BF0"/>
    <w:rsid w:val="04D74A36"/>
    <w:rsid w:val="05CF31FF"/>
    <w:rsid w:val="06EB297F"/>
    <w:rsid w:val="071830B3"/>
    <w:rsid w:val="072E4FA9"/>
    <w:rsid w:val="07372B6B"/>
    <w:rsid w:val="07535363"/>
    <w:rsid w:val="08C52E36"/>
    <w:rsid w:val="094470AB"/>
    <w:rsid w:val="09891A74"/>
    <w:rsid w:val="09E033A8"/>
    <w:rsid w:val="09F124DC"/>
    <w:rsid w:val="0A1469F1"/>
    <w:rsid w:val="0A173D8A"/>
    <w:rsid w:val="0A974A3E"/>
    <w:rsid w:val="0AB532D6"/>
    <w:rsid w:val="0B125DA8"/>
    <w:rsid w:val="0BD571F9"/>
    <w:rsid w:val="0BED4B6E"/>
    <w:rsid w:val="0C0C1F3B"/>
    <w:rsid w:val="0C7E283C"/>
    <w:rsid w:val="0CC05689"/>
    <w:rsid w:val="0CD5224C"/>
    <w:rsid w:val="0CE47224"/>
    <w:rsid w:val="0CFA7AA0"/>
    <w:rsid w:val="0D4A7F23"/>
    <w:rsid w:val="0D711EBE"/>
    <w:rsid w:val="0D771EA7"/>
    <w:rsid w:val="0DCA1CAE"/>
    <w:rsid w:val="0E2222F6"/>
    <w:rsid w:val="0E226524"/>
    <w:rsid w:val="0E4A09D7"/>
    <w:rsid w:val="0E576A3C"/>
    <w:rsid w:val="0F72666A"/>
    <w:rsid w:val="0F8A7784"/>
    <w:rsid w:val="0FB33C21"/>
    <w:rsid w:val="103C5FC6"/>
    <w:rsid w:val="10510B55"/>
    <w:rsid w:val="110171B2"/>
    <w:rsid w:val="115A05DA"/>
    <w:rsid w:val="123900DB"/>
    <w:rsid w:val="12E6591A"/>
    <w:rsid w:val="13392934"/>
    <w:rsid w:val="13DE24C7"/>
    <w:rsid w:val="14231F17"/>
    <w:rsid w:val="144E5BFE"/>
    <w:rsid w:val="1466786F"/>
    <w:rsid w:val="146D2577"/>
    <w:rsid w:val="14BB5B1A"/>
    <w:rsid w:val="14E836E8"/>
    <w:rsid w:val="15087E6F"/>
    <w:rsid w:val="152B1104"/>
    <w:rsid w:val="15BE553B"/>
    <w:rsid w:val="161147C5"/>
    <w:rsid w:val="16766EE8"/>
    <w:rsid w:val="16A3322F"/>
    <w:rsid w:val="17CD5A7B"/>
    <w:rsid w:val="187A66B9"/>
    <w:rsid w:val="198303E3"/>
    <w:rsid w:val="1AA4601E"/>
    <w:rsid w:val="1AB85684"/>
    <w:rsid w:val="1B3B4FB0"/>
    <w:rsid w:val="1C055EED"/>
    <w:rsid w:val="1C1F5B8F"/>
    <w:rsid w:val="1CB83D19"/>
    <w:rsid w:val="1D55740C"/>
    <w:rsid w:val="1DE55E1B"/>
    <w:rsid w:val="1E7B270D"/>
    <w:rsid w:val="1EF17AB3"/>
    <w:rsid w:val="1F13603C"/>
    <w:rsid w:val="203D6B05"/>
    <w:rsid w:val="205E7BE3"/>
    <w:rsid w:val="20733ECA"/>
    <w:rsid w:val="20F63843"/>
    <w:rsid w:val="21380790"/>
    <w:rsid w:val="22B32E1B"/>
    <w:rsid w:val="236906A5"/>
    <w:rsid w:val="23700030"/>
    <w:rsid w:val="2375481A"/>
    <w:rsid w:val="23B37A44"/>
    <w:rsid w:val="23F22C5A"/>
    <w:rsid w:val="249D5D77"/>
    <w:rsid w:val="24AC1531"/>
    <w:rsid w:val="24B445FB"/>
    <w:rsid w:val="25994CE6"/>
    <w:rsid w:val="25A02863"/>
    <w:rsid w:val="25F5013E"/>
    <w:rsid w:val="26130051"/>
    <w:rsid w:val="266D13F7"/>
    <w:rsid w:val="26BA68C7"/>
    <w:rsid w:val="26BB312A"/>
    <w:rsid w:val="26F04D89"/>
    <w:rsid w:val="27896EEB"/>
    <w:rsid w:val="27E92788"/>
    <w:rsid w:val="283167B4"/>
    <w:rsid w:val="28557CCB"/>
    <w:rsid w:val="28682A73"/>
    <w:rsid w:val="29355654"/>
    <w:rsid w:val="2B3F4C1F"/>
    <w:rsid w:val="2B4D1216"/>
    <w:rsid w:val="2B970CB7"/>
    <w:rsid w:val="2BD83F8F"/>
    <w:rsid w:val="2C095760"/>
    <w:rsid w:val="2C110E1D"/>
    <w:rsid w:val="2C520908"/>
    <w:rsid w:val="2D3B7B03"/>
    <w:rsid w:val="2D493ADC"/>
    <w:rsid w:val="2DC26D0C"/>
    <w:rsid w:val="2DC747E2"/>
    <w:rsid w:val="2DFB6036"/>
    <w:rsid w:val="2E7432C7"/>
    <w:rsid w:val="2EEF1ACA"/>
    <w:rsid w:val="2EF65D76"/>
    <w:rsid w:val="2F064EC1"/>
    <w:rsid w:val="2FBE43F5"/>
    <w:rsid w:val="304A473A"/>
    <w:rsid w:val="30D54010"/>
    <w:rsid w:val="31BF549C"/>
    <w:rsid w:val="31CF3B5F"/>
    <w:rsid w:val="31F81857"/>
    <w:rsid w:val="328C48C3"/>
    <w:rsid w:val="331C59FF"/>
    <w:rsid w:val="3337740D"/>
    <w:rsid w:val="33B158E6"/>
    <w:rsid w:val="34EB675E"/>
    <w:rsid w:val="351A24AD"/>
    <w:rsid w:val="35552036"/>
    <w:rsid w:val="35AA241A"/>
    <w:rsid w:val="35BF6E19"/>
    <w:rsid w:val="366A3CE4"/>
    <w:rsid w:val="368460D4"/>
    <w:rsid w:val="36F84B57"/>
    <w:rsid w:val="3732088D"/>
    <w:rsid w:val="375E6705"/>
    <w:rsid w:val="379F6D19"/>
    <w:rsid w:val="37E92A86"/>
    <w:rsid w:val="38243E54"/>
    <w:rsid w:val="38D76BCF"/>
    <w:rsid w:val="38FC32F5"/>
    <w:rsid w:val="39030A9D"/>
    <w:rsid w:val="396866FD"/>
    <w:rsid w:val="39BC4BE1"/>
    <w:rsid w:val="3AD1465E"/>
    <w:rsid w:val="3B5C6A72"/>
    <w:rsid w:val="3C2A4B41"/>
    <w:rsid w:val="3CA66A58"/>
    <w:rsid w:val="3D5B3EF0"/>
    <w:rsid w:val="3DB136C3"/>
    <w:rsid w:val="3E85416B"/>
    <w:rsid w:val="3ECD0998"/>
    <w:rsid w:val="3ED508CA"/>
    <w:rsid w:val="3FA42170"/>
    <w:rsid w:val="3FAF36DB"/>
    <w:rsid w:val="406A14B3"/>
    <w:rsid w:val="40FA2A46"/>
    <w:rsid w:val="410670A8"/>
    <w:rsid w:val="415F764C"/>
    <w:rsid w:val="41B370D6"/>
    <w:rsid w:val="42212582"/>
    <w:rsid w:val="43146FF6"/>
    <w:rsid w:val="433204F8"/>
    <w:rsid w:val="433C3AAA"/>
    <w:rsid w:val="43E05E15"/>
    <w:rsid w:val="44801F7B"/>
    <w:rsid w:val="44F46625"/>
    <w:rsid w:val="4599227F"/>
    <w:rsid w:val="45EA2721"/>
    <w:rsid w:val="465A1A33"/>
    <w:rsid w:val="46FE4C6E"/>
    <w:rsid w:val="472064CC"/>
    <w:rsid w:val="478879E7"/>
    <w:rsid w:val="47A524D7"/>
    <w:rsid w:val="47C04462"/>
    <w:rsid w:val="47D84F8A"/>
    <w:rsid w:val="47DB6ABB"/>
    <w:rsid w:val="48083448"/>
    <w:rsid w:val="482526E6"/>
    <w:rsid w:val="494B68BA"/>
    <w:rsid w:val="49A97E85"/>
    <w:rsid w:val="4B3E5565"/>
    <w:rsid w:val="4B9F60AA"/>
    <w:rsid w:val="4C265440"/>
    <w:rsid w:val="4C340FD6"/>
    <w:rsid w:val="4D9F212B"/>
    <w:rsid w:val="4DA60CF0"/>
    <w:rsid w:val="4DCF4521"/>
    <w:rsid w:val="4E5D756A"/>
    <w:rsid w:val="50077447"/>
    <w:rsid w:val="5057605B"/>
    <w:rsid w:val="512521C5"/>
    <w:rsid w:val="51A823AB"/>
    <w:rsid w:val="51CC648B"/>
    <w:rsid w:val="522E4D5D"/>
    <w:rsid w:val="528B1069"/>
    <w:rsid w:val="52AE0ABE"/>
    <w:rsid w:val="52C11A6B"/>
    <w:rsid w:val="53D170F4"/>
    <w:rsid w:val="548779A2"/>
    <w:rsid w:val="54B70BFC"/>
    <w:rsid w:val="55846FDD"/>
    <w:rsid w:val="55D24828"/>
    <w:rsid w:val="56581D59"/>
    <w:rsid w:val="56AA0BEB"/>
    <w:rsid w:val="57081EE0"/>
    <w:rsid w:val="57CF4F1B"/>
    <w:rsid w:val="57F95B34"/>
    <w:rsid w:val="583F363D"/>
    <w:rsid w:val="58602168"/>
    <w:rsid w:val="586F79A5"/>
    <w:rsid w:val="58AB4E89"/>
    <w:rsid w:val="58B5550E"/>
    <w:rsid w:val="58BF5B9C"/>
    <w:rsid w:val="594E1B4B"/>
    <w:rsid w:val="598034DF"/>
    <w:rsid w:val="59F53E5B"/>
    <w:rsid w:val="5A245845"/>
    <w:rsid w:val="5A2F5AF5"/>
    <w:rsid w:val="5AFF7905"/>
    <w:rsid w:val="5B0E18F6"/>
    <w:rsid w:val="5B382BDE"/>
    <w:rsid w:val="5B492C91"/>
    <w:rsid w:val="5B6B15AA"/>
    <w:rsid w:val="5BF25754"/>
    <w:rsid w:val="5C1E13B0"/>
    <w:rsid w:val="5C5A7F10"/>
    <w:rsid w:val="5C6C3B2F"/>
    <w:rsid w:val="5CE40A94"/>
    <w:rsid w:val="5D3B4F2B"/>
    <w:rsid w:val="5D601CEF"/>
    <w:rsid w:val="5E3E4C2D"/>
    <w:rsid w:val="5EC53874"/>
    <w:rsid w:val="5EE30186"/>
    <w:rsid w:val="5EE37831"/>
    <w:rsid w:val="5F2F6349"/>
    <w:rsid w:val="5F600D4E"/>
    <w:rsid w:val="5FDC55D3"/>
    <w:rsid w:val="5FF90E48"/>
    <w:rsid w:val="60696BD5"/>
    <w:rsid w:val="60C03CCF"/>
    <w:rsid w:val="60F90E60"/>
    <w:rsid w:val="61592A77"/>
    <w:rsid w:val="61822BC8"/>
    <w:rsid w:val="626802E1"/>
    <w:rsid w:val="632012CF"/>
    <w:rsid w:val="6353259C"/>
    <w:rsid w:val="637C55C3"/>
    <w:rsid w:val="63A26C03"/>
    <w:rsid w:val="63C01CBD"/>
    <w:rsid w:val="640102A9"/>
    <w:rsid w:val="643F3D04"/>
    <w:rsid w:val="64BC2C9E"/>
    <w:rsid w:val="64DA5F38"/>
    <w:rsid w:val="65912A7B"/>
    <w:rsid w:val="65D94399"/>
    <w:rsid w:val="660E4242"/>
    <w:rsid w:val="661257BA"/>
    <w:rsid w:val="665D7D32"/>
    <w:rsid w:val="66666C51"/>
    <w:rsid w:val="66BA2385"/>
    <w:rsid w:val="677038E2"/>
    <w:rsid w:val="68FB65DA"/>
    <w:rsid w:val="69293200"/>
    <w:rsid w:val="694347AF"/>
    <w:rsid w:val="694F06EB"/>
    <w:rsid w:val="69766916"/>
    <w:rsid w:val="6AA26939"/>
    <w:rsid w:val="6B9425BB"/>
    <w:rsid w:val="6BE35659"/>
    <w:rsid w:val="6C5E2E74"/>
    <w:rsid w:val="6CE3347E"/>
    <w:rsid w:val="6CF442A6"/>
    <w:rsid w:val="6D673555"/>
    <w:rsid w:val="6DC267F1"/>
    <w:rsid w:val="6E083615"/>
    <w:rsid w:val="6E6F0BB4"/>
    <w:rsid w:val="6EB25B0B"/>
    <w:rsid w:val="6EB92134"/>
    <w:rsid w:val="6EC420B6"/>
    <w:rsid w:val="6EC83CE8"/>
    <w:rsid w:val="6ED96998"/>
    <w:rsid w:val="6F06166D"/>
    <w:rsid w:val="6F3364F9"/>
    <w:rsid w:val="70505871"/>
    <w:rsid w:val="706B4405"/>
    <w:rsid w:val="709A7A5C"/>
    <w:rsid w:val="70C52DF1"/>
    <w:rsid w:val="70CE5BDD"/>
    <w:rsid w:val="70D85A71"/>
    <w:rsid w:val="71E95E0C"/>
    <w:rsid w:val="732872C5"/>
    <w:rsid w:val="73311008"/>
    <w:rsid w:val="743D52D7"/>
    <w:rsid w:val="749949A3"/>
    <w:rsid w:val="74BB0D2E"/>
    <w:rsid w:val="75417F6E"/>
    <w:rsid w:val="769E6A1B"/>
    <w:rsid w:val="76DB0D8A"/>
    <w:rsid w:val="76F0113F"/>
    <w:rsid w:val="771F60E4"/>
    <w:rsid w:val="777F2661"/>
    <w:rsid w:val="77E32042"/>
    <w:rsid w:val="783436C5"/>
    <w:rsid w:val="78786397"/>
    <w:rsid w:val="79C61A14"/>
    <w:rsid w:val="79EC6CEB"/>
    <w:rsid w:val="7A481CA5"/>
    <w:rsid w:val="7B4126B7"/>
    <w:rsid w:val="7C171859"/>
    <w:rsid w:val="7C4E5B9F"/>
    <w:rsid w:val="7D3944F4"/>
    <w:rsid w:val="7E58216F"/>
    <w:rsid w:val="7E886BD8"/>
    <w:rsid w:val="7EFA5F7A"/>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2184</Words>
  <Characters>12450</Characters>
  <Lines>103</Lines>
  <Paragraphs>29</Paragraphs>
  <TotalTime>8</TotalTime>
  <ScaleCrop>false</ScaleCrop>
  <LinksUpToDate>false</LinksUpToDate>
  <CharactersWithSpaces>14605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2023-08-11T06:59:44Z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64DFFC63641D48ABAC9302272B9FCC93</vt:lpwstr>
  </property>
</Properties>
</file>